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409EC954"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4D4D0B">
        <w:rPr>
          <w:rFonts w:ascii="Times New Roman" w:eastAsia="MS Mincho" w:hAnsi="Times New Roman"/>
          <w:i/>
          <w:iCs/>
          <w:sz w:val="28"/>
          <w:szCs w:val="28"/>
          <w:lang w:val="en-US"/>
        </w:rPr>
        <w:t>30</w:t>
      </w:r>
      <w:r w:rsidR="005D67DC">
        <w:rPr>
          <w:rFonts w:ascii="Times New Roman" w:eastAsia="MS Mincho" w:hAnsi="Times New Roman"/>
          <w:i/>
          <w:iCs/>
          <w:sz w:val="28"/>
          <w:szCs w:val="28"/>
          <w:lang w:val="en-US"/>
        </w:rPr>
        <w:t>4</w:t>
      </w:r>
      <w:r w:rsidR="004D4D0B">
        <w:rPr>
          <w:rFonts w:ascii="Times New Roman" w:eastAsia="MS Mincho" w:hAnsi="Times New Roman"/>
          <w:i/>
          <w:iCs/>
          <w:sz w:val="28"/>
          <w:szCs w:val="28"/>
          <w:lang w:val="en-US"/>
        </w:rPr>
        <w:t xml:space="preserve"> Intermediate </w:t>
      </w:r>
      <w:r w:rsidR="005D67DC">
        <w:rPr>
          <w:rFonts w:ascii="Times New Roman" w:eastAsia="MS Mincho" w:hAnsi="Times New Roman"/>
          <w:i/>
          <w:iCs/>
          <w:sz w:val="28"/>
          <w:szCs w:val="28"/>
          <w:lang w:val="en-US"/>
        </w:rPr>
        <w:t>High</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26D84371"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1B0161">
        <w:rPr>
          <w:color w:val="000000" w:themeColor="text1"/>
        </w:rPr>
        <w:t>30</w:t>
      </w:r>
      <w:r w:rsidR="005D67DC">
        <w:rPr>
          <w:color w:val="000000" w:themeColor="text1"/>
        </w:rPr>
        <w:t>4</w:t>
      </w:r>
    </w:p>
    <w:p w14:paraId="09C8FB03" w14:textId="3655DDC3"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4D4D0B">
        <w:rPr>
          <w:color w:val="000000" w:themeColor="text1"/>
        </w:rPr>
        <w:t xml:space="preserve">Intermediate </w:t>
      </w:r>
      <w:r w:rsidR="005D67DC">
        <w:rPr>
          <w:color w:val="000000" w:themeColor="text1"/>
        </w:rPr>
        <w:t>High</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25E33416" w14:textId="2957D433" w:rsidR="005D67DC" w:rsidRDefault="00416FC5" w:rsidP="00964149">
      <w:pPr>
        <w:pStyle w:val="Heading2"/>
        <w:spacing w:after="240"/>
        <w:rPr>
          <w:rFonts w:asciiTheme="minorHAnsi" w:eastAsiaTheme="minorHAnsi" w:hAnsiTheme="minorHAnsi" w:cstheme="minorBidi"/>
          <w:b w:val="0"/>
          <w:color w:val="auto"/>
          <w:sz w:val="22"/>
          <w:szCs w:val="22"/>
          <w:u w:val="none"/>
        </w:rPr>
      </w:pPr>
      <w:r w:rsidRPr="00416FC5">
        <w:rPr>
          <w:rFonts w:asciiTheme="minorHAnsi" w:eastAsiaTheme="minorHAnsi" w:hAnsiTheme="minorHAnsi" w:cstheme="minorBidi"/>
          <w:b w:val="0"/>
          <w:color w:val="auto"/>
          <w:sz w:val="22"/>
          <w:szCs w:val="22"/>
          <w:u w:val="none"/>
        </w:rPr>
        <w:t>Emphasizes expanding oral language, critical and creative thinking skills in English, and reading</w:t>
      </w:r>
      <w:r>
        <w:rPr>
          <w:rFonts w:asciiTheme="minorHAnsi" w:eastAsiaTheme="minorHAnsi" w:hAnsiTheme="minorHAnsi" w:cstheme="minorBidi"/>
          <w:b w:val="0"/>
          <w:color w:val="auto"/>
          <w:sz w:val="22"/>
          <w:szCs w:val="22"/>
          <w:u w:val="none"/>
        </w:rPr>
        <w:t xml:space="preserve"> </w:t>
      </w:r>
      <w:r w:rsidRPr="00416FC5">
        <w:rPr>
          <w:rFonts w:asciiTheme="minorHAnsi" w:eastAsiaTheme="minorHAnsi" w:hAnsiTheme="minorHAnsi" w:cstheme="minorBidi"/>
          <w:b w:val="0"/>
          <w:color w:val="auto"/>
          <w:sz w:val="22"/>
          <w:szCs w:val="22"/>
          <w:u w:val="none"/>
        </w:rPr>
        <w:t>comprehension of authentic academic and informational text. Written tasks focus on academic</w:t>
      </w:r>
      <w:r>
        <w:rPr>
          <w:rFonts w:asciiTheme="minorHAnsi" w:eastAsiaTheme="minorHAnsi" w:hAnsiTheme="minorHAnsi" w:cstheme="minorBidi"/>
          <w:b w:val="0"/>
          <w:color w:val="auto"/>
          <w:sz w:val="22"/>
          <w:szCs w:val="22"/>
          <w:u w:val="none"/>
        </w:rPr>
        <w:t xml:space="preserve"> </w:t>
      </w:r>
      <w:r w:rsidRPr="00416FC5">
        <w:rPr>
          <w:rFonts w:asciiTheme="minorHAnsi" w:eastAsiaTheme="minorHAnsi" w:hAnsiTheme="minorHAnsi" w:cstheme="minorBidi"/>
          <w:b w:val="0"/>
          <w:color w:val="auto"/>
          <w:sz w:val="22"/>
          <w:szCs w:val="22"/>
          <w:u w:val="none"/>
        </w:rPr>
        <w:t>and workforce preparation, as well as increased community and civic participation. Five high</w:t>
      </w:r>
      <w:r>
        <w:rPr>
          <w:rFonts w:asciiTheme="minorHAnsi" w:eastAsiaTheme="minorHAnsi" w:hAnsiTheme="minorHAnsi" w:cstheme="minorBidi"/>
          <w:b w:val="0"/>
          <w:color w:val="auto"/>
          <w:sz w:val="22"/>
          <w:szCs w:val="22"/>
          <w:u w:val="none"/>
        </w:rPr>
        <w:t xml:space="preserve"> </w:t>
      </w:r>
      <w:r w:rsidRPr="00416FC5">
        <w:rPr>
          <w:rFonts w:asciiTheme="minorHAnsi" w:eastAsiaTheme="minorHAnsi" w:hAnsiTheme="minorHAnsi" w:cstheme="minorBidi"/>
          <w:b w:val="0"/>
          <w:color w:val="auto"/>
          <w:sz w:val="22"/>
          <w:szCs w:val="22"/>
          <w:u w:val="none"/>
        </w:rPr>
        <w:t>school elective credits may be granted upon passing the course.</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6EBB4F37" w14:textId="7D7E2CC8" w:rsidR="00416FC5" w:rsidRDefault="00FA3DB8" w:rsidP="00A33CF3">
      <w:pPr>
        <w:pStyle w:val="ListParagraph"/>
        <w:numPr>
          <w:ilvl w:val="0"/>
          <w:numId w:val="11"/>
        </w:numPr>
        <w:rPr>
          <w:color w:val="000000" w:themeColor="text1"/>
        </w:rPr>
      </w:pPr>
      <w:r w:rsidRPr="00FA3DB8">
        <w:rPr>
          <w:color w:val="000000" w:themeColor="text1"/>
        </w:rPr>
        <w:t xml:space="preserve">Evaluate verbally the point and purpose of authentic podcasts, read-aloud stories, </w:t>
      </w:r>
      <w:proofErr w:type="gramStart"/>
      <w:r w:rsidRPr="00FA3DB8">
        <w:rPr>
          <w:color w:val="000000" w:themeColor="text1"/>
        </w:rPr>
        <w:t>listening</w:t>
      </w:r>
      <w:proofErr w:type="gramEnd"/>
      <w:r w:rsidRPr="00FA3DB8">
        <w:rPr>
          <w:color w:val="000000" w:themeColor="text1"/>
        </w:rPr>
        <w:t xml:space="preserve"> passages, or spoken messages.</w:t>
      </w:r>
    </w:p>
    <w:p w14:paraId="3651CAD6" w14:textId="362F1A0C" w:rsidR="00FA3DB8" w:rsidRPr="00FA3DB8" w:rsidRDefault="00FA3DB8" w:rsidP="00FA3DB8">
      <w:pPr>
        <w:pStyle w:val="ListParagraph"/>
        <w:numPr>
          <w:ilvl w:val="0"/>
          <w:numId w:val="11"/>
        </w:numPr>
        <w:rPr>
          <w:color w:val="000000" w:themeColor="text1"/>
        </w:rPr>
      </w:pPr>
      <w:r w:rsidRPr="00FA3DB8">
        <w:rPr>
          <w:color w:val="000000" w:themeColor="text1"/>
        </w:rPr>
        <w:t>Write a well-developed paragraph that includes a topic sentence, three supporting details, and a conclusion, on personal experiences or a</w:t>
      </w:r>
      <w:r>
        <w:rPr>
          <w:color w:val="000000" w:themeColor="text1"/>
        </w:rPr>
        <w:t xml:space="preserve"> </w:t>
      </w:r>
      <w:r w:rsidRPr="00FA3DB8">
        <w:rPr>
          <w:color w:val="000000" w:themeColor="text1"/>
        </w:rPr>
        <w:t>familiar topic, based on a visual or written prompt.</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lastRenderedPageBreak/>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lastRenderedPageBreak/>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01CA69A" w:rsidR="009D558D" w:rsidRPr="000F558E" w:rsidRDefault="00301569" w:rsidP="00424466">
            <w:pPr>
              <w:rPr>
                <w:b/>
                <w:color w:val="000000" w:themeColor="text1"/>
              </w:rPr>
            </w:pPr>
            <w:r w:rsidRPr="00301569">
              <w:rPr>
                <w:b/>
                <w:color w:val="000000" w:themeColor="text1"/>
                <w:highlight w:val="yellow"/>
              </w:rPr>
              <w:t>96</w:t>
            </w:r>
            <w:r w:rsidR="009D558D" w:rsidRPr="00301569">
              <w:rPr>
                <w:b/>
                <w:color w:val="000000" w:themeColor="text1"/>
                <w:highlight w:val="yellow"/>
              </w:rPr>
              <w:t xml:space="preserve"> – </w:t>
            </w:r>
            <w:r w:rsidRPr="00301569">
              <w:rPr>
                <w:b/>
                <w:color w:val="000000" w:themeColor="text1"/>
                <w:highlight w:val="yellow"/>
              </w:rPr>
              <w:t>216 hours</w:t>
            </w:r>
            <w:r w:rsidR="009D558D" w:rsidRPr="00301569">
              <w:rPr>
                <w:b/>
                <w:color w:val="000000" w:themeColor="text1"/>
                <w:highlight w:val="yellow"/>
              </w:rPr>
              <w:t xml:space="preserve"> (see instructor assignment letter</w:t>
            </w:r>
            <w:r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C45E" w14:textId="77777777" w:rsidR="00C25E4E" w:rsidRDefault="00C25E4E" w:rsidP="00B70F23">
      <w:pPr>
        <w:spacing w:after="0" w:line="240" w:lineRule="auto"/>
      </w:pPr>
      <w:r>
        <w:separator/>
      </w:r>
    </w:p>
  </w:endnote>
  <w:endnote w:type="continuationSeparator" w:id="0">
    <w:p w14:paraId="0FE6A66E" w14:textId="77777777" w:rsidR="00C25E4E" w:rsidRDefault="00C25E4E"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EF79" w14:textId="77777777" w:rsidR="00C25E4E" w:rsidRDefault="00C25E4E" w:rsidP="00B70F23">
      <w:pPr>
        <w:spacing w:after="0" w:line="240" w:lineRule="auto"/>
      </w:pPr>
      <w:r>
        <w:separator/>
      </w:r>
    </w:p>
  </w:footnote>
  <w:footnote w:type="continuationSeparator" w:id="0">
    <w:p w14:paraId="16B3FA8F" w14:textId="77777777" w:rsidR="00C25E4E" w:rsidRDefault="00C25E4E"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B0161"/>
    <w:rsid w:val="001E1F91"/>
    <w:rsid w:val="0020250F"/>
    <w:rsid w:val="00202C54"/>
    <w:rsid w:val="002B7FF5"/>
    <w:rsid w:val="002C34F0"/>
    <w:rsid w:val="002D4D2A"/>
    <w:rsid w:val="002D6C30"/>
    <w:rsid w:val="00301569"/>
    <w:rsid w:val="00313945"/>
    <w:rsid w:val="00332EDE"/>
    <w:rsid w:val="003A3419"/>
    <w:rsid w:val="003A5939"/>
    <w:rsid w:val="00416FC5"/>
    <w:rsid w:val="00427D5D"/>
    <w:rsid w:val="00497067"/>
    <w:rsid w:val="004A45A0"/>
    <w:rsid w:val="004B3FC1"/>
    <w:rsid w:val="004D4D0B"/>
    <w:rsid w:val="004D794E"/>
    <w:rsid w:val="00556329"/>
    <w:rsid w:val="00572A80"/>
    <w:rsid w:val="00577745"/>
    <w:rsid w:val="005D67DC"/>
    <w:rsid w:val="006C5F38"/>
    <w:rsid w:val="00731C6D"/>
    <w:rsid w:val="00783A64"/>
    <w:rsid w:val="007E3BA0"/>
    <w:rsid w:val="00883A33"/>
    <w:rsid w:val="00890279"/>
    <w:rsid w:val="008A55AC"/>
    <w:rsid w:val="008E51A4"/>
    <w:rsid w:val="0091074A"/>
    <w:rsid w:val="009308E6"/>
    <w:rsid w:val="00964149"/>
    <w:rsid w:val="009B53CE"/>
    <w:rsid w:val="009D1E6D"/>
    <w:rsid w:val="009D558D"/>
    <w:rsid w:val="00A33CF3"/>
    <w:rsid w:val="00A4752D"/>
    <w:rsid w:val="00B10C29"/>
    <w:rsid w:val="00B22E4F"/>
    <w:rsid w:val="00B35310"/>
    <w:rsid w:val="00B61853"/>
    <w:rsid w:val="00B70F23"/>
    <w:rsid w:val="00B80B03"/>
    <w:rsid w:val="00B81E08"/>
    <w:rsid w:val="00C25E4E"/>
    <w:rsid w:val="00C53CDE"/>
    <w:rsid w:val="00CA00F5"/>
    <w:rsid w:val="00CA7A5F"/>
    <w:rsid w:val="00CB219C"/>
    <w:rsid w:val="00CC5755"/>
    <w:rsid w:val="00D74CE5"/>
    <w:rsid w:val="00DC4609"/>
    <w:rsid w:val="00DC5697"/>
    <w:rsid w:val="00DE3CD7"/>
    <w:rsid w:val="00DE5F29"/>
    <w:rsid w:val="00DF7869"/>
    <w:rsid w:val="00E208D1"/>
    <w:rsid w:val="00EE581F"/>
    <w:rsid w:val="00EF6867"/>
    <w:rsid w:val="00F258C5"/>
    <w:rsid w:val="00F27B01"/>
    <w:rsid w:val="00F474AE"/>
    <w:rsid w:val="00F64613"/>
    <w:rsid w:val="00F70D0B"/>
    <w:rsid w:val="00FA3DB8"/>
    <w:rsid w:val="00FB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2AB97D2C-CC23-4CFC-8DFB-64E0AED66197}"/>
</file>

<file path=docProps/app.xml><?xml version="1.0" encoding="utf-8"?>
<Properties xmlns="http://schemas.openxmlformats.org/officeDocument/2006/extended-properties" xmlns:vt="http://schemas.openxmlformats.org/officeDocument/2006/docPropsVTypes">
  <Template>Normal</Template>
  <TotalTime>106</TotalTime>
  <Pages>5</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33</cp:revision>
  <dcterms:created xsi:type="dcterms:W3CDTF">2023-01-30T21:45:00Z</dcterms:created>
  <dcterms:modified xsi:type="dcterms:W3CDTF">2026-01-14T17:35:00Z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