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11487412"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1F619B">
        <w:rPr>
          <w:rFonts w:ascii="Times New Roman" w:eastAsia="MS Mincho" w:hAnsi="Times New Roman"/>
          <w:i/>
          <w:iCs/>
          <w:sz w:val="28"/>
          <w:szCs w:val="28"/>
          <w:lang w:val="en-US"/>
        </w:rPr>
        <w:t>606</w:t>
      </w:r>
      <w:r>
        <w:rPr>
          <w:rFonts w:ascii="Times New Roman" w:eastAsia="MS Mincho" w:hAnsi="Times New Roman"/>
          <w:i/>
          <w:iCs/>
          <w:sz w:val="28"/>
          <w:szCs w:val="28"/>
          <w:lang w:val="en-US"/>
        </w:rPr>
        <w:t xml:space="preserve"> </w:t>
      </w:r>
      <w:r w:rsidR="001F619B">
        <w:rPr>
          <w:rFonts w:ascii="Times New Roman" w:eastAsia="MS Mincho" w:hAnsi="Times New Roman"/>
          <w:i/>
          <w:iCs/>
          <w:sz w:val="28"/>
          <w:szCs w:val="28"/>
          <w:lang w:val="en-US"/>
        </w:rPr>
        <w:t>Computer Skills for ESL</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569339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F619B">
        <w:rPr>
          <w:color w:val="000000" w:themeColor="text1"/>
        </w:rPr>
        <w:t>606</w:t>
      </w:r>
    </w:p>
    <w:p w14:paraId="09C8FB03" w14:textId="692B6E55"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1F619B">
        <w:rPr>
          <w:color w:val="000000" w:themeColor="text1"/>
        </w:rPr>
        <w:t>Computer Skills for ESL</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2FEEBE4" w14:textId="130D0E8D" w:rsidR="00964149" w:rsidRDefault="00487E44" w:rsidP="00487E44">
      <w:pPr>
        <w:pStyle w:val="Heading2"/>
        <w:spacing w:after="240"/>
        <w:rPr>
          <w:rFonts w:asciiTheme="minorHAnsi" w:eastAsiaTheme="minorHAnsi" w:hAnsiTheme="minorHAnsi" w:cstheme="minorBidi"/>
          <w:b w:val="0"/>
          <w:color w:val="auto"/>
          <w:sz w:val="22"/>
          <w:szCs w:val="22"/>
          <w:u w:val="none"/>
        </w:rPr>
      </w:pPr>
      <w:r w:rsidRPr="00487E44">
        <w:rPr>
          <w:rFonts w:asciiTheme="minorHAnsi" w:eastAsiaTheme="minorHAnsi" w:hAnsiTheme="minorHAnsi" w:cstheme="minorBidi"/>
          <w:b w:val="0"/>
          <w:color w:val="auto"/>
          <w:sz w:val="22"/>
          <w:szCs w:val="22"/>
          <w:u w:val="none"/>
        </w:rPr>
        <w:t>Students will learn basic computer skills to assist their English language learning. Emphasizes</w:t>
      </w:r>
      <w:r>
        <w:rPr>
          <w:rFonts w:asciiTheme="minorHAnsi" w:eastAsiaTheme="minorHAnsi" w:hAnsiTheme="minorHAnsi" w:cstheme="minorBidi"/>
          <w:b w:val="0"/>
          <w:color w:val="auto"/>
          <w:sz w:val="22"/>
          <w:szCs w:val="22"/>
          <w:u w:val="none"/>
        </w:rPr>
        <w:t xml:space="preserve"> </w:t>
      </w:r>
      <w:r w:rsidRPr="00487E44">
        <w:rPr>
          <w:rFonts w:asciiTheme="minorHAnsi" w:eastAsiaTheme="minorHAnsi" w:hAnsiTheme="minorHAnsi" w:cstheme="minorBidi"/>
          <w:b w:val="0"/>
          <w:color w:val="auto"/>
          <w:sz w:val="22"/>
          <w:szCs w:val="22"/>
          <w:u w:val="none"/>
        </w:rPr>
        <w:t>vocabulary and terminology related to computers, basic typing and word processing, website</w:t>
      </w:r>
      <w:r>
        <w:rPr>
          <w:rFonts w:asciiTheme="minorHAnsi" w:eastAsiaTheme="minorHAnsi" w:hAnsiTheme="minorHAnsi" w:cstheme="minorBidi"/>
          <w:b w:val="0"/>
          <w:color w:val="auto"/>
          <w:sz w:val="22"/>
          <w:szCs w:val="22"/>
          <w:u w:val="none"/>
        </w:rPr>
        <w:t xml:space="preserve"> </w:t>
      </w:r>
      <w:r w:rsidRPr="00487E44">
        <w:rPr>
          <w:rFonts w:asciiTheme="minorHAnsi" w:eastAsiaTheme="minorHAnsi" w:hAnsiTheme="minorHAnsi" w:cstheme="minorBidi"/>
          <w:b w:val="0"/>
          <w:color w:val="auto"/>
          <w:sz w:val="22"/>
          <w:szCs w:val="22"/>
          <w:u w:val="none"/>
        </w:rPr>
        <w:t>navigation, Internet safety, and email. Students will also use various English language software</w:t>
      </w:r>
      <w:r>
        <w:rPr>
          <w:rFonts w:asciiTheme="minorHAnsi" w:eastAsiaTheme="minorHAnsi" w:hAnsiTheme="minorHAnsi" w:cstheme="minorBidi"/>
          <w:b w:val="0"/>
          <w:color w:val="auto"/>
          <w:sz w:val="22"/>
          <w:szCs w:val="22"/>
          <w:u w:val="none"/>
        </w:rPr>
        <w:t xml:space="preserve"> </w:t>
      </w:r>
      <w:r w:rsidRPr="00487E44">
        <w:rPr>
          <w:rFonts w:asciiTheme="minorHAnsi" w:eastAsiaTheme="minorHAnsi" w:hAnsiTheme="minorHAnsi" w:cstheme="minorBidi"/>
          <w:b w:val="0"/>
          <w:color w:val="auto"/>
          <w:sz w:val="22"/>
          <w:szCs w:val="22"/>
          <w:u w:val="none"/>
        </w:rPr>
        <w:t>programs to practice their English. The class is open to ESL students of all levels.</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F867DFE" w14:textId="1AEDA1C0" w:rsidR="001B1A26" w:rsidRDefault="00046C03" w:rsidP="00A33CF3">
      <w:pPr>
        <w:pStyle w:val="ListParagraph"/>
        <w:numPr>
          <w:ilvl w:val="0"/>
          <w:numId w:val="11"/>
        </w:numPr>
        <w:rPr>
          <w:color w:val="000000" w:themeColor="text1"/>
        </w:rPr>
      </w:pPr>
      <w:r w:rsidRPr="00046C03">
        <w:rPr>
          <w:color w:val="000000" w:themeColor="text1"/>
        </w:rPr>
        <w:t>Compose a simple email in English using appropriate email etiquette and formatting.</w:t>
      </w:r>
    </w:p>
    <w:p w14:paraId="5935CB12" w14:textId="5A46C897" w:rsidR="00046C03" w:rsidRDefault="00046C03" w:rsidP="00A33CF3">
      <w:pPr>
        <w:pStyle w:val="ListParagraph"/>
        <w:numPr>
          <w:ilvl w:val="0"/>
          <w:numId w:val="11"/>
        </w:numPr>
        <w:rPr>
          <w:color w:val="000000" w:themeColor="text1"/>
        </w:rPr>
      </w:pPr>
      <w:r w:rsidRPr="00046C03">
        <w:rPr>
          <w:color w:val="000000" w:themeColor="text1"/>
        </w:rPr>
        <w:t>Identify key technology vocabulary and demonstrate the ability to use the keyboard at a basic level.</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lastRenderedPageBreak/>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5A49EC6E" w:rsidR="009D558D" w:rsidRPr="000F558E" w:rsidRDefault="001B1A26" w:rsidP="00424466">
            <w:pPr>
              <w:rPr>
                <w:b/>
                <w:color w:val="000000" w:themeColor="text1"/>
              </w:rPr>
            </w:pPr>
            <w:r>
              <w:rPr>
                <w:b/>
                <w:color w:val="000000" w:themeColor="text1"/>
                <w:highlight w:val="yellow"/>
              </w:rPr>
              <w:t>144</w:t>
            </w:r>
            <w:r w:rsidR="007C664C">
              <w:rPr>
                <w:b/>
                <w:color w:val="000000" w:themeColor="text1"/>
                <w:highlight w:val="yellow"/>
              </w:rPr>
              <w:t>-288</w:t>
            </w:r>
            <w:r w:rsidR="00301569" w:rsidRPr="00301569">
              <w:rPr>
                <w:b/>
                <w:color w:val="000000" w:themeColor="text1"/>
                <w:highlight w:val="yellow"/>
              </w:rPr>
              <w:t xml:space="preserve"> hours</w:t>
            </w:r>
            <w:r w:rsidR="009D558D" w:rsidRPr="00301569">
              <w:rPr>
                <w:b/>
                <w:color w:val="000000" w:themeColor="text1"/>
                <w:highlight w:val="yellow"/>
              </w:rPr>
              <w:t xml:space="preserve"> (see instructor assignment letter</w:t>
            </w:r>
            <w:r w:rsidR="00301569"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lastRenderedPageBreak/>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748E" w14:textId="77777777" w:rsidR="00C67238" w:rsidRDefault="00C67238" w:rsidP="00B70F23">
      <w:pPr>
        <w:spacing w:after="0" w:line="240" w:lineRule="auto"/>
      </w:pPr>
      <w:r>
        <w:separator/>
      </w:r>
    </w:p>
  </w:endnote>
  <w:endnote w:type="continuationSeparator" w:id="0">
    <w:p w14:paraId="6A770AA2" w14:textId="77777777" w:rsidR="00C67238" w:rsidRDefault="00C67238"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513D" w14:textId="77777777" w:rsidR="00C67238" w:rsidRDefault="00C67238" w:rsidP="00B70F23">
      <w:pPr>
        <w:spacing w:after="0" w:line="240" w:lineRule="auto"/>
      </w:pPr>
      <w:r>
        <w:separator/>
      </w:r>
    </w:p>
  </w:footnote>
  <w:footnote w:type="continuationSeparator" w:id="0">
    <w:p w14:paraId="4806183F" w14:textId="77777777" w:rsidR="00C67238" w:rsidRDefault="00C67238"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46C03"/>
    <w:rsid w:val="000555E3"/>
    <w:rsid w:val="000763A1"/>
    <w:rsid w:val="00085AE0"/>
    <w:rsid w:val="000F558E"/>
    <w:rsid w:val="001264E0"/>
    <w:rsid w:val="001B0161"/>
    <w:rsid w:val="001B1A26"/>
    <w:rsid w:val="001E1F91"/>
    <w:rsid w:val="001F619B"/>
    <w:rsid w:val="00202C54"/>
    <w:rsid w:val="002B7FF5"/>
    <w:rsid w:val="002C34F0"/>
    <w:rsid w:val="002D4D2A"/>
    <w:rsid w:val="00301569"/>
    <w:rsid w:val="00313945"/>
    <w:rsid w:val="003A3419"/>
    <w:rsid w:val="003A5939"/>
    <w:rsid w:val="00427D5D"/>
    <w:rsid w:val="00487E44"/>
    <w:rsid w:val="004A45A0"/>
    <w:rsid w:val="004B3FC1"/>
    <w:rsid w:val="004D794E"/>
    <w:rsid w:val="00541E6A"/>
    <w:rsid w:val="00572A80"/>
    <w:rsid w:val="006A26B4"/>
    <w:rsid w:val="00731C6D"/>
    <w:rsid w:val="007C664C"/>
    <w:rsid w:val="007E3BA0"/>
    <w:rsid w:val="008724DB"/>
    <w:rsid w:val="00883A33"/>
    <w:rsid w:val="00890279"/>
    <w:rsid w:val="008A55AC"/>
    <w:rsid w:val="0091074A"/>
    <w:rsid w:val="009308E6"/>
    <w:rsid w:val="00964149"/>
    <w:rsid w:val="009D1E6D"/>
    <w:rsid w:val="009D558D"/>
    <w:rsid w:val="00A33CF3"/>
    <w:rsid w:val="00A4752D"/>
    <w:rsid w:val="00B10C29"/>
    <w:rsid w:val="00B22E4F"/>
    <w:rsid w:val="00B27B25"/>
    <w:rsid w:val="00B35310"/>
    <w:rsid w:val="00B61853"/>
    <w:rsid w:val="00B70F23"/>
    <w:rsid w:val="00B80B03"/>
    <w:rsid w:val="00B81E08"/>
    <w:rsid w:val="00C67238"/>
    <w:rsid w:val="00CA00F5"/>
    <w:rsid w:val="00CA7A5F"/>
    <w:rsid w:val="00CB219C"/>
    <w:rsid w:val="00CC5755"/>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152DFB21-6BD2-44B8-97EB-5D025627DFCF}"/>
</file>

<file path=docProps/app.xml><?xml version="1.0" encoding="utf-8"?>
<Properties xmlns="http://schemas.openxmlformats.org/officeDocument/2006/extended-properties" xmlns:vt="http://schemas.openxmlformats.org/officeDocument/2006/docPropsVTypes">
  <Template>Normal</Template>
  <TotalTime>125</TotalTime>
  <Pages>4</Pages>
  <Words>1649</Words>
  <Characters>8250</Characters>
  <Application>Microsoft Office Word</Application>
  <DocSecurity>0</DocSecurity>
  <Lines>8250</Lines>
  <Paragraphs>1099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27</cp:revision>
  <dcterms:created xsi:type="dcterms:W3CDTF">2023-01-30T21:45:00Z</dcterms:created>
  <dcterms:modified xsi:type="dcterms:W3CDTF">2026-01-20T23:48:00Z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