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0E" w:rsidRPr="001A51AA" w:rsidRDefault="001A51AA" w:rsidP="001B060E">
      <w:pPr>
        <w:contextualSpacing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-194310</wp:posOffset>
            </wp:positionV>
            <wp:extent cx="936625" cy="643890"/>
            <wp:effectExtent l="19050" t="0" r="0" b="0"/>
            <wp:wrapTight wrapText="bothSides">
              <wp:wrapPolygon edited="0">
                <wp:start x="-439" y="0"/>
                <wp:lineTo x="-439" y="21089"/>
                <wp:lineTo x="21527" y="21089"/>
                <wp:lineTo x="21527" y="0"/>
                <wp:lineTo x="-439" y="0"/>
              </wp:wrapPolygon>
            </wp:wrapTight>
            <wp:docPr id="1" name="Picture 0" descr="RSCCD_Logo_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CCD_Logo_A-20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51AA">
        <w:rPr>
          <w:sz w:val="36"/>
          <w:szCs w:val="36"/>
        </w:rPr>
        <w:t xml:space="preserve">3-Year Forklift Evaluation  </w:t>
      </w:r>
    </w:p>
    <w:p w:rsidR="001A51AA" w:rsidRPr="004A433B" w:rsidRDefault="001A51AA" w:rsidP="001B060E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7"/>
        <w:gridCol w:w="2963"/>
        <w:gridCol w:w="263"/>
        <w:gridCol w:w="1710"/>
        <w:gridCol w:w="2808"/>
      </w:tblGrid>
      <w:tr w:rsidR="001B060E" w:rsidTr="001B060E">
        <w:tc>
          <w:tcPr>
            <w:tcW w:w="1832" w:type="dxa"/>
          </w:tcPr>
          <w:p w:rsidR="001B060E" w:rsidRPr="001B060E" w:rsidRDefault="001B060E" w:rsidP="001B060E">
            <w:pPr>
              <w:contextualSpacing/>
            </w:pPr>
            <w:r>
              <w:t>Operator’s Name: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263" w:type="dxa"/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1710" w:type="dxa"/>
          </w:tcPr>
          <w:p w:rsidR="001B060E" w:rsidRPr="001B060E" w:rsidRDefault="001A51AA" w:rsidP="001A51AA">
            <w:pPr>
              <w:contextualSpacing/>
            </w:pPr>
            <w:r>
              <w:t>Evaluator: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</w:tr>
      <w:tr w:rsidR="001B060E" w:rsidTr="001B060E">
        <w:tc>
          <w:tcPr>
            <w:tcW w:w="1832" w:type="dxa"/>
          </w:tcPr>
          <w:p w:rsidR="001B060E" w:rsidRPr="001B060E" w:rsidRDefault="001A51AA" w:rsidP="001B060E">
            <w:pPr>
              <w:contextualSpacing/>
            </w:pPr>
            <w:r>
              <w:t>Campus/Department</w:t>
            </w:r>
            <w:r w:rsidR="001B060E">
              <w:t>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263" w:type="dxa"/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  <w:tc>
          <w:tcPr>
            <w:tcW w:w="1710" w:type="dxa"/>
          </w:tcPr>
          <w:p w:rsidR="001B060E" w:rsidRPr="001B060E" w:rsidRDefault="009421B4" w:rsidP="001B060E">
            <w:pPr>
              <w:contextualSpacing/>
            </w:pPr>
            <w:r>
              <w:t>Forklift Type</w:t>
            </w:r>
            <w:r w:rsidR="001B060E">
              <w:t>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1B060E" w:rsidRDefault="001B060E" w:rsidP="001B060E">
            <w:pPr>
              <w:contextualSpacing/>
              <w:rPr>
                <w:b/>
              </w:rPr>
            </w:pPr>
          </w:p>
        </w:tc>
      </w:tr>
    </w:tbl>
    <w:p w:rsidR="0055751D" w:rsidRDefault="0055751D" w:rsidP="001B060E">
      <w:pPr>
        <w:contextualSpacing/>
      </w:pPr>
    </w:p>
    <w:p w:rsidR="00715CB8" w:rsidRPr="00750718" w:rsidRDefault="00715CB8" w:rsidP="001B060E">
      <w:pPr>
        <w:contextualSpacing/>
        <w:rPr>
          <w:u w:val="single"/>
        </w:rPr>
      </w:pPr>
      <w:r w:rsidRPr="00750718">
        <w:rPr>
          <w:b/>
          <w:u w:val="single"/>
        </w:rPr>
        <w:t>Evaluation Topics</w:t>
      </w:r>
    </w:p>
    <w:p w:rsidR="001A51AA" w:rsidRDefault="00715CB8" w:rsidP="001A51AA">
      <w:pPr>
        <w:contextualSpacing/>
      </w:pPr>
      <w:r>
        <w:t>The operator mu</w:t>
      </w:r>
      <w:r w:rsidR="0055751D">
        <w:t>st demonstrate competency for each of the following topics</w:t>
      </w:r>
      <w:r>
        <w:t xml:space="preserve"> to successfully complete the evaluation</w:t>
      </w:r>
      <w:r w:rsidR="001A51AA">
        <w:t>.</w:t>
      </w:r>
      <w:r>
        <w:t xml:space="preserve">  </w:t>
      </w:r>
      <w:r w:rsidR="001A51AA">
        <w:t>Refresher training is required only for training topics in which the operator is found to be deficient.</w:t>
      </w:r>
    </w:p>
    <w:p w:rsidR="00715CB8" w:rsidRDefault="00715CB8" w:rsidP="001B060E">
      <w:pPr>
        <w:contextualSpacing/>
      </w:pPr>
    </w:p>
    <w:p w:rsidR="00F67DFC" w:rsidRPr="00750718" w:rsidRDefault="00B30356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>Visual Checks</w:t>
      </w:r>
    </w:p>
    <w:p w:rsidR="00D425B0" w:rsidRDefault="00D425B0" w:rsidP="00D425B0">
      <w:pPr>
        <w:contextualSpacing/>
      </w:pPr>
      <w:r>
        <w:t xml:space="preserve">Did the operator visually </w:t>
      </w:r>
      <w:r w:rsidR="00542EF5">
        <w:t>check?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88"/>
        <w:gridCol w:w="1433"/>
        <w:gridCol w:w="1555"/>
      </w:tblGrid>
      <w:tr w:rsidR="00D425B0" w:rsidTr="00A102D0">
        <w:tc>
          <w:tcPr>
            <w:tcW w:w="6588" w:type="dxa"/>
          </w:tcPr>
          <w:p w:rsidR="00D425B0" w:rsidRDefault="00D425B0" w:rsidP="001B060E">
            <w:pPr>
              <w:contextualSpacing/>
            </w:pPr>
            <w:r>
              <w:t xml:space="preserve">Controls (in safe positions) 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D425B0" w:rsidP="001B060E">
            <w:pPr>
              <w:contextualSpacing/>
            </w:pPr>
            <w:r>
              <w:t>Fluid levels /leaks (e</w:t>
            </w:r>
            <w:r w:rsidR="00A102D0">
              <w:t>ngine or battery); damage to</w:t>
            </w:r>
            <w:r>
              <w:t xml:space="preserve"> LPG cylinder, valves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lastRenderedPageBreak/>
              <w:t>Forks, carriage, mast, chains, sprockets, hoses and overhead guard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t>Wheels and tires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t>Safety decals, capacity plate, guards, covers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425B0" w:rsidTr="00A102D0">
        <w:tc>
          <w:tcPr>
            <w:tcW w:w="6588" w:type="dxa"/>
          </w:tcPr>
          <w:p w:rsidR="00D425B0" w:rsidRDefault="00A102D0" w:rsidP="001B060E">
            <w:pPr>
              <w:contextualSpacing/>
            </w:pPr>
            <w:r>
              <w:t>Safety devices (seat belt/harness)</w:t>
            </w:r>
          </w:p>
        </w:tc>
        <w:tc>
          <w:tcPr>
            <w:tcW w:w="1433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D425B0" w:rsidRDefault="00D425B0" w:rsidP="00D425B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102590" w:rsidRDefault="00102590" w:rsidP="001B060E">
      <w:pPr>
        <w:contextualSpacing/>
      </w:pPr>
    </w:p>
    <w:p w:rsidR="00F019AC" w:rsidRPr="00750718" w:rsidRDefault="00F019AC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>Operational Checks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88"/>
        <w:gridCol w:w="1433"/>
        <w:gridCol w:w="1555"/>
      </w:tblGrid>
      <w:tr w:rsidR="00A102D0" w:rsidTr="00D104E0">
        <w:tc>
          <w:tcPr>
            <w:tcW w:w="6588" w:type="dxa"/>
          </w:tcPr>
          <w:p w:rsidR="00A102D0" w:rsidRDefault="001A51AA" w:rsidP="00A102D0">
            <w:pPr>
              <w:contextualSpacing/>
            </w:pPr>
            <w:r>
              <w:t>I</w:t>
            </w:r>
            <w:r w:rsidR="00A102D0">
              <w:t>nstruments (readings normal)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D104E0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Lights and horns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D104E0">
        <w:tc>
          <w:tcPr>
            <w:tcW w:w="6588" w:type="dxa"/>
          </w:tcPr>
          <w:p w:rsidR="00A102D0" w:rsidRDefault="00A102D0" w:rsidP="00522723">
            <w:pPr>
              <w:contextualSpacing/>
            </w:pPr>
            <w:r>
              <w:t xml:space="preserve">Lifting/lowering system (forks up/down, side 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D104E0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Direction and speed controls (steering, speed control, brakes)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907BF8" w:rsidRDefault="00907BF8" w:rsidP="001B060E">
      <w:pPr>
        <w:contextualSpacing/>
      </w:pPr>
    </w:p>
    <w:p w:rsidR="00907BF8" w:rsidRPr="00750718" w:rsidRDefault="00907BF8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>Basic Operating Procedures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88"/>
        <w:gridCol w:w="1433"/>
        <w:gridCol w:w="1555"/>
      </w:tblGrid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Operate the controls competently and smoothly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Travel with load/forks at a safe height</w:t>
            </w:r>
            <w:bookmarkStart w:id="0" w:name="_GoBack"/>
            <w:bookmarkEnd w:id="0"/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Travels at safe speeds in all conditions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Keep clear view of path of travel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Maintain awareness of all clearances (overhead, side and rear)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Check rear clearances before moving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Start all turns in proper position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Checks load before lifting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Avoids bumping or pushing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Places and pulls out of load correctly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Park correctly and safely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A102D0" w:rsidRDefault="00A102D0" w:rsidP="001B060E">
      <w:pPr>
        <w:contextualSpacing/>
      </w:pPr>
    </w:p>
    <w:p w:rsidR="00704176" w:rsidRPr="00750718" w:rsidRDefault="00704176" w:rsidP="001B060E">
      <w:pPr>
        <w:contextualSpacing/>
        <w:rPr>
          <w:i/>
          <w:u w:val="single"/>
        </w:rPr>
      </w:pPr>
      <w:r w:rsidRPr="00750718">
        <w:rPr>
          <w:i/>
          <w:u w:val="single"/>
        </w:rPr>
        <w:t xml:space="preserve">General Safety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88"/>
        <w:gridCol w:w="1433"/>
        <w:gridCol w:w="1555"/>
      </w:tblGrid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Sound horn when necessary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Yield to pedestrians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Keep body inside operating compartment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Use all safety devices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>
              <w:t>Competently refuel or recharge forklift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A102D0" w:rsidRDefault="00A102D0" w:rsidP="001B060E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588"/>
        <w:gridCol w:w="1433"/>
        <w:gridCol w:w="1555"/>
      </w:tblGrid>
      <w:tr w:rsidR="00A102D0" w:rsidTr="00C24AC5">
        <w:tc>
          <w:tcPr>
            <w:tcW w:w="6588" w:type="dxa"/>
          </w:tcPr>
          <w:p w:rsidR="00A102D0" w:rsidRDefault="00A102D0" w:rsidP="00A102D0">
            <w:pPr>
              <w:contextualSpacing/>
            </w:pPr>
            <w:r w:rsidRPr="00A102D0">
              <w:t>Operator successfully completed forklift operator training.</w:t>
            </w:r>
          </w:p>
        </w:tc>
        <w:tc>
          <w:tcPr>
            <w:tcW w:w="1433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</w:tc>
        <w:tc>
          <w:tcPr>
            <w:tcW w:w="1555" w:type="dxa"/>
          </w:tcPr>
          <w:p w:rsidR="00A102D0" w:rsidRDefault="00A102D0" w:rsidP="00A102D0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</w:tbl>
    <w:p w:rsidR="00D104E0" w:rsidRDefault="00D104E0" w:rsidP="001B060E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4860"/>
        <w:gridCol w:w="720"/>
        <w:gridCol w:w="1548"/>
      </w:tblGrid>
      <w:tr w:rsidR="00D104E0" w:rsidTr="00D104E0">
        <w:tc>
          <w:tcPr>
            <w:tcW w:w="2448" w:type="dxa"/>
          </w:tcPr>
          <w:p w:rsidR="00D104E0" w:rsidRDefault="00D104E0" w:rsidP="001B060E">
            <w:pPr>
              <w:contextualSpacing/>
            </w:pPr>
            <w:r>
              <w:t>Operator Signature: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  <w:tc>
          <w:tcPr>
            <w:tcW w:w="720" w:type="dxa"/>
          </w:tcPr>
          <w:p w:rsidR="00D104E0" w:rsidRDefault="00D104E0" w:rsidP="001B060E">
            <w:pPr>
              <w:contextualSpacing/>
            </w:pPr>
            <w:r>
              <w:t>Date: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</w:tr>
      <w:tr w:rsidR="00D104E0" w:rsidTr="00D104E0">
        <w:trPr>
          <w:trHeight w:val="306"/>
        </w:trPr>
        <w:tc>
          <w:tcPr>
            <w:tcW w:w="2448" w:type="dxa"/>
          </w:tcPr>
          <w:p w:rsidR="00D104E0" w:rsidRDefault="00542EF5" w:rsidP="001B060E">
            <w:pPr>
              <w:contextualSpacing/>
            </w:pPr>
            <w:r>
              <w:t>Evaluator’s</w:t>
            </w:r>
            <w:r w:rsidR="00D104E0">
              <w:t xml:space="preserve"> Signature:</w:t>
            </w:r>
            <w:r w:rsidR="00D104E0">
              <w:tab/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  <w:tc>
          <w:tcPr>
            <w:tcW w:w="720" w:type="dxa"/>
          </w:tcPr>
          <w:p w:rsidR="00D104E0" w:rsidRDefault="00D104E0" w:rsidP="001B060E">
            <w:pPr>
              <w:contextualSpacing/>
            </w:pPr>
            <w:r>
              <w:t>Date: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104E0" w:rsidRDefault="00D104E0" w:rsidP="001B060E">
            <w:pPr>
              <w:contextualSpacing/>
            </w:pPr>
          </w:p>
        </w:tc>
      </w:tr>
    </w:tbl>
    <w:p w:rsidR="00704176" w:rsidRDefault="00704176" w:rsidP="00542EF5">
      <w:pPr>
        <w:contextualSpacing/>
      </w:pPr>
    </w:p>
    <w:sectPr w:rsidR="00704176" w:rsidSect="00542E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2EB2"/>
    <w:multiLevelType w:val="hybridMultilevel"/>
    <w:tmpl w:val="37E6E42E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B5155"/>
    <w:multiLevelType w:val="hybridMultilevel"/>
    <w:tmpl w:val="C6C4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B478B"/>
    <w:multiLevelType w:val="hybridMultilevel"/>
    <w:tmpl w:val="D2FE00B6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D2241"/>
    <w:multiLevelType w:val="hybridMultilevel"/>
    <w:tmpl w:val="90F23A96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5F98"/>
    <w:multiLevelType w:val="hybridMultilevel"/>
    <w:tmpl w:val="461AB74C"/>
    <w:lvl w:ilvl="0" w:tplc="E39EE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50458"/>
    <w:multiLevelType w:val="hybridMultilevel"/>
    <w:tmpl w:val="C9E0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1470"/>
    <w:rsid w:val="00102590"/>
    <w:rsid w:val="00182A77"/>
    <w:rsid w:val="001A1A9B"/>
    <w:rsid w:val="001A51AA"/>
    <w:rsid w:val="001B060E"/>
    <w:rsid w:val="001B615D"/>
    <w:rsid w:val="004A433B"/>
    <w:rsid w:val="00522723"/>
    <w:rsid w:val="00542EF5"/>
    <w:rsid w:val="0055751D"/>
    <w:rsid w:val="005E5C44"/>
    <w:rsid w:val="00704176"/>
    <w:rsid w:val="00715CB8"/>
    <w:rsid w:val="00750718"/>
    <w:rsid w:val="007E080E"/>
    <w:rsid w:val="008445D6"/>
    <w:rsid w:val="00907BF8"/>
    <w:rsid w:val="009421B4"/>
    <w:rsid w:val="009E007E"/>
    <w:rsid w:val="00A102D0"/>
    <w:rsid w:val="00B30356"/>
    <w:rsid w:val="00C24AC5"/>
    <w:rsid w:val="00D104E0"/>
    <w:rsid w:val="00D425B0"/>
    <w:rsid w:val="00E4495B"/>
    <w:rsid w:val="00EB1F41"/>
    <w:rsid w:val="00F019AC"/>
    <w:rsid w:val="00F31470"/>
    <w:rsid w:val="00F6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FC"/>
    <w:pPr>
      <w:ind w:left="720"/>
      <w:contextualSpacing/>
    </w:pPr>
  </w:style>
  <w:style w:type="table" w:styleId="TableGrid">
    <w:name w:val="Table Grid"/>
    <w:basedOn w:val="TableNormal"/>
    <w:uiPriority w:val="59"/>
    <w:rsid w:val="001B0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FC"/>
    <w:pPr>
      <w:ind w:left="720"/>
      <w:contextualSpacing/>
    </w:pPr>
  </w:style>
  <w:style w:type="table" w:styleId="TableGrid">
    <w:name w:val="Table Grid"/>
    <w:basedOn w:val="TableNormal"/>
    <w:uiPriority w:val="59"/>
    <w:rsid w:val="001B0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E2D2707C82D4C85E2293FF954124C" ma:contentTypeVersion="2" ma:contentTypeDescription="Create a new document." ma:contentTypeScope="" ma:versionID="4916cdb96221a3e22d82ff13da61fcfb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468B1B-E47F-46EA-9A8B-9F0167092956}"/>
</file>

<file path=customXml/itemProps2.xml><?xml version="1.0" encoding="utf-8"?>
<ds:datastoreItem xmlns:ds="http://schemas.openxmlformats.org/officeDocument/2006/customXml" ds:itemID="{082F4319-BE43-4831-BCFA-C29D8C29ECA9}"/>
</file>

<file path=customXml/itemProps3.xml><?xml version="1.0" encoding="utf-8"?>
<ds:datastoreItem xmlns:ds="http://schemas.openxmlformats.org/officeDocument/2006/customXml" ds:itemID="{DCD00489-01A2-46ED-B964-7D5B8D950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2</cp:revision>
  <cp:lastPrinted>2011-08-05T22:06:00Z</cp:lastPrinted>
  <dcterms:created xsi:type="dcterms:W3CDTF">2014-07-15T15:45:00Z</dcterms:created>
  <dcterms:modified xsi:type="dcterms:W3CDTF">2014-07-15T15:45:00Z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0x010100E2DE2D2707C82D4C85E2293FF954124C</vt:lpwstr>
  </property>
</Properties>
</file>